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246B" w14:textId="77777777" w:rsidR="002673A5" w:rsidRDefault="002673A5" w:rsidP="002673A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Ustawa z dnia 5 stycznia 2011 r. - Kodeks wyborczy </w:t>
      </w:r>
    </w:p>
    <w:p w14:paraId="2A6CD1ED" w14:textId="6EEE10CB" w:rsidR="002673A5" w:rsidRPr="002673A5" w:rsidRDefault="002673A5" w:rsidP="002673A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 Dz. U. z 2023 r. poz. 2408).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– wyciąg z przepisów</w:t>
      </w:r>
    </w:p>
    <w:p w14:paraId="39098784" w14:textId="77777777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E8C7EFD" w14:textId="2BBE27CC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Art.  417.  [Tworzenie okręgów wyborczych dla wyborów do rady gminy]</w:t>
      </w:r>
    </w:p>
    <w:p w14:paraId="4912E843" w14:textId="536D2228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  1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 Okręg wyborczy obejmuje część obszaru gminy.</w:t>
      </w:r>
    </w:p>
    <w:p w14:paraId="47AFB79D" w14:textId="1CC42E07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  2.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W gminach na terenach wiejskich okręgiem wyborczym jest jednostka pomocnicza gminy. Jednostki pomocnicze gminy łączy się w celu utworzenia okręgu lub dzieli się na dwa lub więcej okręgów wyborczych, jeżeli wynika to z konieczności zachowania jednolitej normy przedstawicielstwa.</w:t>
      </w:r>
    </w:p>
    <w:p w14:paraId="684CC257" w14:textId="2D267FB0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  3.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Jednostkę pomocniczą gminy dzieli się na dwa lub więcej okręgów wyborczych również wtedy, gdy:</w:t>
      </w:r>
    </w:p>
    <w:p w14:paraId="1BB80D6E" w14:textId="3E0739DA" w:rsidR="002673A5" w:rsidRPr="002673A5" w:rsidRDefault="002673A5" w:rsidP="002673A5">
      <w:pPr>
        <w:spacing w:after="0" w:line="240" w:lineRule="auto"/>
        <w:ind w:left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1) w gminie liczącej do 20 000 mieszkańców liczba radnych wybieranych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danej jednostce pomocniczej byłaby większa niż 1;</w:t>
      </w:r>
    </w:p>
    <w:p w14:paraId="22F2152C" w14:textId="665F43B1" w:rsidR="002673A5" w:rsidRPr="002673A5" w:rsidRDefault="002673A5" w:rsidP="002673A5">
      <w:pPr>
        <w:spacing w:after="0" w:line="240" w:lineRule="auto"/>
        <w:ind w:left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 w gminach liczących powyżej 20 000 mieszkańców liczba radnych wybieranych w danej jednostce pomocniczej byłaby większa niż 8.</w:t>
      </w:r>
    </w:p>
    <w:p w14:paraId="23043A79" w14:textId="6FB4DBDA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  4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 W miastach przy tworzeniu okręgów wyborczych uwzględnia się utworzone jednostki pomocnicze.</w:t>
      </w:r>
    </w:p>
    <w:p w14:paraId="1D37F35D" w14:textId="77777777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443F1C5" w14:textId="77777777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Art.  418.  [Okręgi jednomandatowe i wielomandatowe]</w:t>
      </w:r>
    </w:p>
    <w:p w14:paraId="09C84AF1" w14:textId="27B06EF6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  1.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 W każdym okręgu wyborczym tworzonym dla wyboru rady w gminie liczącej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20 000 mieszkańców wybiera się 1 radnego.</w:t>
      </w:r>
    </w:p>
    <w:p w14:paraId="7DF8E21C" w14:textId="60909A90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  2.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Dla wyboru rady w gminie liczącej powyżej 20 000 mieszkańców tworzy się okręgi wyborcze, w których wybiera się od 5 do 8 radnych.</w:t>
      </w:r>
    </w:p>
    <w:p w14:paraId="78CE6A05" w14:textId="77777777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0735BF" w14:textId="77777777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Art.  419.  [Zasady podziału gminy na okręgi wyborcze]</w:t>
      </w:r>
    </w:p>
    <w:p w14:paraId="53845923" w14:textId="268672A9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  1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 Podział gminy na okręgi wyborcze jest stały, z zastrzeżeniem art. 421.</w:t>
      </w:r>
    </w:p>
    <w:p w14:paraId="539287D7" w14:textId="0EE989E6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  2.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Podział na okręgi wyborcze, ich granice i numery oraz liczbę radnych wybieranych w każdym okręgu ustala komisarz wyborczy według jednolitej normy przedstawicielstwa obliczonej przez podzielenie liczby mieszkańców gminy przez liczbę radnych wybieranych do danej rady, z uwzględnieniem art. 417 i następujących zasad:</w:t>
      </w:r>
    </w:p>
    <w:p w14:paraId="2E6311E2" w14:textId="305C017D" w:rsidR="002673A5" w:rsidRPr="002673A5" w:rsidRDefault="002673A5" w:rsidP="002673A5">
      <w:pPr>
        <w:spacing w:after="0" w:line="240" w:lineRule="auto"/>
        <w:ind w:left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ułamki liczby mandatów wybieranych w okręgu wyborczym równe lub większe od 1/2, jakie wynikają z zastosowania normy przedstawicielstwa, zaokrągla się w górę do liczby całkowitej;</w:t>
      </w:r>
    </w:p>
    <w:p w14:paraId="25EB62C8" w14:textId="54B1F672" w:rsidR="002673A5" w:rsidRPr="002673A5" w:rsidRDefault="002673A5" w:rsidP="002673A5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 jeżeli w wyniku postępowania, o którym mowa w pkt 1, liczba radnych wybieranych w okręgach przewyższa liczby wynikające z art. 373 i art. 418 § 2, mandaty nadwyżkowe odejmuje się w tych okręgach wyborczych, w których norma przedstawicielstwa jest najmniejsza; w przypadku gdy liczba mandatów jest mniejsza od wynikającej z art. 373 i art. 418 § 2, dodatkowe mandaty przydziela się tym okręgom wyborczym, w których norma przedstawicielstwa jest największa.</w:t>
      </w:r>
    </w:p>
    <w:p w14:paraId="7B698AD4" w14:textId="36432EA5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  2a.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 Granice okręgów wyborczych ustala się z uwzględnieniem krajowego rejestru urzędowego podziału terytorialnego kraju, o którym mowa w </w:t>
      </w:r>
      <w:hyperlink r:id="rId4" w:anchor="/document/16796947?unitId=art(47)&amp;cm=DOCUMENT" w:history="1">
        <w:r w:rsidRPr="002673A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art. 47</w:t>
        </w:r>
      </w:hyperlink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ustawy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dnia 29 czerwca 1995 r. o statystyce publicznej.</w:t>
      </w:r>
    </w:p>
    <w:p w14:paraId="66841F05" w14:textId="528C2B00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  3.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Przepisy § 2 stosuje się odpowiednio do podziału na okręgi wyborcze gminy liczącej do 20 000 mieszkańców.</w:t>
      </w:r>
    </w:p>
    <w:p w14:paraId="2003ECD5" w14:textId="4A615099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  4.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 Postanowienie komisarza wyborczego w sprawie okręgów wyborczych ogłasza się w wojewódzkim dzienniku urzędowym oraz podaje się do publicznej wiadomości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sposób zwyczajowo przyjęty. Jeden egzemplarz postanowienia przekazuje się niezwłocznie wojewodzie, Państwowej Komisji Wyborczej, radzie gminy objętej podziałem, o którym mowa w art. 419.</w:t>
      </w:r>
    </w:p>
    <w:p w14:paraId="372A0998" w14:textId="36EFC6F5" w:rsidR="002673A5" w:rsidRPr="002673A5" w:rsidRDefault="002673A5" w:rsidP="002673A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7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§  5.</w:t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 Postanowienie komisarza wyborczego w sprawie okręgów wyborczych jest podstawą dla właściwego dyrektora delegatury Krajowego Biura Wyborczego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wprowadzenia danych o numerach i granicach okręgów wyborczych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2673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Centralnego Rejestru Wyborców.</w:t>
      </w:r>
    </w:p>
    <w:p w14:paraId="3521A129" w14:textId="77777777" w:rsidR="007A20D5" w:rsidRPr="002673A5" w:rsidRDefault="007A20D5" w:rsidP="002673A5">
      <w:pPr>
        <w:jc w:val="both"/>
        <w:rPr>
          <w:rFonts w:ascii="Arial" w:hAnsi="Arial" w:cs="Arial"/>
          <w:sz w:val="24"/>
          <w:szCs w:val="24"/>
        </w:rPr>
      </w:pPr>
    </w:p>
    <w:sectPr w:rsidR="007A20D5" w:rsidRPr="0026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A5"/>
    <w:rsid w:val="002673A5"/>
    <w:rsid w:val="00425307"/>
    <w:rsid w:val="004F5338"/>
    <w:rsid w:val="007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9B7A"/>
  <w15:chartTrackingRefBased/>
  <w15:docId w15:val="{D3F62F1E-681F-4F09-9511-A9C0F5D8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7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Kubiak</dc:creator>
  <cp:keywords/>
  <dc:description/>
  <cp:lastModifiedBy>Iwona Kubiak</cp:lastModifiedBy>
  <cp:revision>1</cp:revision>
  <cp:lastPrinted>2023-11-29T13:45:00Z</cp:lastPrinted>
  <dcterms:created xsi:type="dcterms:W3CDTF">2023-11-29T08:50:00Z</dcterms:created>
  <dcterms:modified xsi:type="dcterms:W3CDTF">2023-11-29T14:51:00Z</dcterms:modified>
</cp:coreProperties>
</file>